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Acta de acuerdos y organización del equipo de proyectos CAPCA TACA</w:t>
      </w:r>
    </w:p>
    <w:p>
      <w:r>
        <w:t>Reunión base del 21 de septiembre de 2026 · Actualización del 22 de septiembre de 2026</w:t>
      </w:r>
    </w:p>
    <w:p>
      <w:r>
        <w:t>BORRADOR PARA REVISIÓN Y CORRECCIONES · CONFORMIDAD MEDIANTE FIRMA</w:t>
      </w:r>
    </w:p>
    <w:p>
      <w:pPr>
        <w:pStyle w:val="Heading2"/>
      </w:pPr>
      <w:r>
        <w:t>Objeto del documento</w:t>
      </w:r>
    </w:p>
    <w:p>
      <w:r>
        <w:t>Consolidar los acuerdos técnicos y operativos de la reunión, sus actualizaciones posteriores y el mecanismo de trabajo del equipo CAPCA–TACA. El objetivo común es ejecutar los proyectos con definición suficiente, recursos gestionados oportunamente, responsabilidades claras y resultados verificables.</w:t>
      </w:r>
    </w:p>
    <w:p>
      <w:r>
        <w:t>El documento contiene dos bloques: acuerdos por proyecto y organización del equipo. Los participantes revisarán y corregirán el texto antes de firmar. La firma acreditará conformidad con los roles y compromisos consignados, sin sustituir aprobaciones de inversión, compras, pagos o intervención de planta.</w:t>
      </w:r>
    </w:p>
    <w:p>
      <w:pPr>
        <w:pStyle w:val="Heading1"/>
      </w:pPr>
      <w:r>
        <w:t>Bloque I Acuerdos técnicos y operativos</w:t>
      </w:r>
    </w:p>
    <w:p>
      <w:pPr>
        <w:pStyle w:val="Heading2"/>
      </w:pPr>
      <w:r>
        <w:t>Base y actualización de los acuerdos</w:t>
      </w:r>
    </w:p>
    <w:p>
      <w:r>
        <w:t>Se toma como antecedente la minuta de Rafael Meriño del 21 de septiembre, que se adjunta sin alterar. Las presentaciones de Germán por TACA se incorporan como referencias técnicas. El presente texto consolida su contenido y las aclaraciones posteriores, sin atribuir al encuentro inicial decisiones tomadas después.</w:t>
      </w:r>
    </w:p>
    <w:p>
      <w:pPr>
        <w:pStyle w:val="Heading2"/>
      </w:pPr>
      <w:r>
        <w:t>Atemperadores</w:t>
      </w:r>
    </w:p>
    <w:p>
      <w:r>
        <w:t>El equipo coordinará la definición, suministro, instalación y puesta en servicio de los atemperadores. El alcance comprende ingeniería, selección por estación, cómputos, presupuesto, procura, preparación de líneas, tuberías de agua y aire, instrumentación, programación, aislamiento, accesos y pruebas que resulten aplicables.</w:t>
      </w:r>
    </w:p>
    <w:p>
      <w:r>
        <w:t>La presentación identifica cuatro equipos nuevos y un equipo existente por reubicar. El expediente relacionará cada estación con ubicación, modelo, boquillas y alcance de montaje, utilizando las bases oficiales de CAPCA y los documentos vigentes del fabricante.</w:t>
      </w:r>
    </w:p>
    <w:p>
      <w:pPr>
        <w:pStyle w:val="Heading2"/>
      </w:pPr>
      <w:r>
        <w:t>Actualización posterior a la reunión inicial</w:t>
      </w:r>
    </w:p>
    <w:p>
      <w:r>
        <w:t>Germán informó el 22 de septiembre que en la reunión de la tarde del 21 con Rafael y Gustavo aclararon la filosofía de control para simplificarla y revisaron aclaraciones con el proveedor, quien suministró hojas de cálculo con información recibida de Juana. Se registra este avance para incorporar al expediente los documentos y la solución acordada. No se solicitará repetir el trabajo ya realizado; se verificará qué puntos quedaron efectivamente cerrados y cuáles continúan pendientes.</w:t>
      </w:r>
    </w:p>
    <w:p>
      <w:r>
        <w:t>Germán y Rafael consolidarán las revisiones resultantes. Junior verificará la correspondencia de la filosofía de control y la instrumentación. Las observaciones de versiones anteriores se cerrarán con referencia al documento que las resuelve.</w:t>
      </w:r>
    </w:p>
    <w:p>
      <w:pPr>
        <w:pStyle w:val="Heading1"/>
        <w:pageBreakBefore/>
      </w:pPr>
      <w:r>
        <w:t>Bloque I Continuación de acuerdos por proyecto</w:t>
      </w:r>
    </w:p>
    <w:p>
      <w:pPr>
        <w:pStyle w:val="Heading2"/>
      </w:pPr>
      <w:r>
        <w:t>Condiciones de ejecución de atemperadores</w:t>
      </w:r>
    </w:p>
    <w:p>
      <w:r>
        <w:t>El equipo presentará alternativas que incluyan preparación, permisos, aislamiento, montaje, pruebas, arranque y contingencias. Distinguirá horas de instalación de duración total de parada. Los plazos se vincularán a entrega de ingeniería, aprobaciones, pagos, fabricación y recepción. La referencia del 12 de noviembre deberá conciliarse con el programa validado y sus condiciones, sin convertirse por sí sola en garantía de terminación.</w:t>
      </w:r>
    </w:p>
    <w:p>
      <w:r>
        <w:t>La recuperación de sacarosa y el beneficio económico se evaluarán con una línea base comparable. Los valores y recomendaciones conceptuales de las presentaciones se validarán antes de liberar su aplicación. Incorporar las presentaciones no equivale a aprobar toda especificación o estimación allí contenida.</w:t>
      </w:r>
    </w:p>
    <w:p>
      <w:pPr>
        <w:pStyle w:val="Heading2"/>
      </w:pPr>
      <w:r>
        <w:t>Preparación y dosificación de cal</w:t>
      </w:r>
    </w:p>
    <w:p>
      <w:r>
        <w:t>Se priorizará la fase mínima completa necesaria para dosificar al inicio de zafra. El equipo definirá preparación, concentración, capacidad, almacenamiento, elevación, tanque, tolva, sinfín, electricidad, instrumentación y control. Los trabajos posteriores del galpón se separarán sin omitir lo indispensable para operar.</w:t>
      </w:r>
    </w:p>
    <w:p>
      <w:r>
        <w:t>La presentación del cuarto de preparación de cal se incorpora como referencia conceptual. Su secuencia, capacidades y condiciones operativas deberán quedar conciliadas en la versión técnica liberada. Cualquier cambio en fabricación se documentará antes de ejecutarse.</w:t>
      </w:r>
    </w:p>
    <w:p>
      <w:pPr>
        <w:pStyle w:val="Heading2"/>
      </w:pPr>
      <w:r>
        <w:t>Recuperación de agua dulce y válvulas</w:t>
      </w:r>
    </w:p>
    <w:p>
      <w:r>
        <w:t>El equipo conciliará un inventario único por ubicación, circuito, tipo y cantidad. Precisará tuberías, trabajos asociados, distribución de compras e instalación, presupuesto, programación, pruebas y medición del resultado. Las cantidades deberán quedar conciliadas antes de cerrar el presupuesto definitivo.</w:t>
      </w:r>
    </w:p>
    <w:p>
      <w:pPr>
        <w:pStyle w:val="Heading2"/>
      </w:pPr>
      <w:r>
        <w:t>Torre de enfriamiento y trabajos para el año siguiente</w:t>
      </w:r>
    </w:p>
    <w:p>
      <w:r>
        <w:t>Se preparará el expediente de la torre de enfriamiento para su evaluación en la planificación 2027: ubicación, flujograma, bases de proceso, alternativas, presupuesto y justificación. La revisión del esquema mencionada para la semana siguiente requiere fecha acordada. Esta preparación no autoriza su compra o construcción.</w:t>
      </w:r>
    </w:p>
    <w:p>
      <w:r>
        <w:t>Rafael y Germán precisarán también los componentes, condición y alternativas de recubrimientos o materiales que se evaluarán para la siguiente parada anual, manteniendo ese frente separado del alcance inmediato.</w:t>
      </w:r>
    </w:p>
    <w:p>
      <w:pPr>
        <w:pStyle w:val="Heading2"/>
      </w:pPr>
      <w:r>
        <w:t>Evaluaciones complementarias</w:t>
      </w:r>
    </w:p>
    <w:p>
      <w:r>
        <w:t>Se compararán alternativas de calidad y abastecimiento de cal con criterios técnicos y costo integral. Se evaluará el retorno real de la planta de tratamiento de agua con registros verificables. Cada proyecto conservará planos, memorias, manuales, cambios y resultados de pruebas. El ambulatorio se mantendrá en expediente separado.</w:t>
      </w:r>
    </w:p>
    <w:p>
      <w:pPr>
        <w:pStyle w:val="Heading1"/>
        <w:pageBreakBefore/>
      </w:pPr>
      <w:r>
        <w:t>Bloque II Organización y responsabilidad de cierre</w:t>
      </w:r>
    </w:p>
    <w:p>
      <w:pPr>
        <w:pStyle w:val="Heading2"/>
      </w:pPr>
      <w:r>
        <w:t>Equipo integrado y acceso a información</w:t>
      </w:r>
    </w:p>
    <w:p>
      <w:r>
        <w:t>El equipo de proyectos definirá prioridades, disponibilidad de áreas, condiciones operativas y alternativas convenientes técnica y financieramente. Mantendrá un expediente común, con acceso oportuno a la información pertinente para CAPCA y TACA y control de confidencialidad y versiones.</w:t>
      </w:r>
    </w:p>
    <w:p>
      <w:r>
        <w:t>Queda recogida la confirmación de Alejandro sobre la participación del equipo y la dedicación y coordinación de Gustavo para este frente. El eventual trámite de cambio de departamento se mantiene separado. Alejandro recibirá los expedientes preparados por el equipo y formalizará con su firma lo que corresponda a su autoridad, incluida la base oficial de datos.</w:t>
      </w:r>
    </w:p>
    <w:p>
      <w:pPr>
        <w:pStyle w:val="Heading2"/>
      </w:pPr>
      <w:r>
        <w:t>Rafael Meriño por CAPCA</w:t>
      </w:r>
    </w:p>
    <w:p>
      <w:r>
        <w:t>Responderá por impulsar la ejecución del proyecto dentro de CAPCA, coordinar las áreas, resolver o escalar restricciones internas y verificar el cierre de sus compromisos. Integrará con Germán el programa, las decisiones pendientes y las condiciones de intervención de planta.</w:t>
      </w:r>
    </w:p>
    <w:p>
      <w:pPr>
        <w:pStyle w:val="Heading2"/>
      </w:pPr>
      <w:r>
        <w:t>Germán Pargas por TACA</w:t>
      </w:r>
    </w:p>
    <w:p>
      <w:r>
        <w:t>Responderá por integrar y cerrar los entregables de TACA, mantener visibles las dependencias y verificar los cierres documentados. Cuando un compromiso no se resuelva o amenace la ejecución, TACA generará una alerta y la escalará a las instancias necesarias hasta obtener una decisión o solución. Emitir una alerta no equivale a cerrar el pendiente.</w:t>
      </w:r>
    </w:p>
    <w:p>
      <w:pPr>
        <w:pStyle w:val="Heading2"/>
      </w:pPr>
      <w:r>
        <w:t>Conducción conjunta</w:t>
      </w:r>
    </w:p>
    <w:p>
      <w:r>
        <w:t>Rafael y Germán conducirán el seguimiento y cierre, cada uno en su ámbito. Mantendrán una lista única de compromisos con responsable, entrega, fecha requerida, dependencia, impacto y evidencia de aceptación. Cada paquete tendrá un responsable único, aunque participen varias personas. La coordinación conjunta no diluye la responsabilidad individual.</w:t>
      </w:r>
    </w:p>
    <w:p>
      <w:pPr>
        <w:pStyle w:val="Heading2"/>
      </w:pPr>
      <w:r>
        <w:t>José Barrios como responsable de gestionar aprobaciones</w:t>
      </w:r>
    </w:p>
    <w:p>
      <w:r>
        <w:t>Se establece para conformidad y firma el encargo de José Barrios como enlace responsable de gestionar las aprobaciones ante la Junta Directiva y seguir las necesidades de fondos, compras y materiales hasta su resolución. Deberá conocer el contexto global, las metas, secuencia técnica, dependencias y situación de cada proyecto.</w:t>
      </w:r>
    </w:p>
    <w:p>
      <w:r>
        <w:t>El equipo de proyectos tendrá la obligación de mantenerlo informado, involucrarlo en las revisiones pertinentes y entregarle solicitudes completas y sustentadas. Barrios verificará qué falta para decidir, tramitará la solicitud, dará seguimiento a la respuesta y advertirá oportunamente cualquier demora. No sustituye a la Junta Directiva ni aprueba por cuenta propia inversiones o pagos.</w:t>
      </w:r>
    </w:p>
    <w:p>
      <w:r>
        <w:t>La firma de Barrios y la ratificación por la autoridad correspondiente dejarán constancia del encargo, su coordinación y sus límites. El acuerdo previo entre José Francisco y Luisa sobre su participación no sustituye esa aceptación.</w:t>
      </w:r>
    </w:p>
    <w:p>
      <w:pPr>
        <w:pStyle w:val="Heading1"/>
        <w:pageBreakBefore/>
      </w:pPr>
      <w:r>
        <w:t>Bloque II Recursos progresivos y demás responsabilidades</w:t>
      </w:r>
    </w:p>
    <w:p>
      <w:pPr>
        <w:pStyle w:val="Heading2"/>
      </w:pPr>
      <w:r>
        <w:t>Desembolsos vinculados a metas</w:t>
      </w:r>
    </w:p>
    <w:p>
      <w:r>
        <w:t>El mecanismo contempla que la disponibilidad total de fondos puede no existir al inicio. Los recursos se gestionarán progresivamente, siguiendo metas y dependencias previamente plasmadas. No se presume por ello que exista una insuficiencia de caja comprobada ni una autorización global de inversión.</w:t>
      </w:r>
    </w:p>
    <w:p>
      <w:r>
        <w:t>Cada solicitud a la Junta Directiva identificará proyecto, concepto, monto, soporte técnico y comercial, meta que habilita, actividad posterior, fecha necesaria y efecto de aplazarla. Si una compra o anticipo habilita la ingeniería posterior, el equipo documentará esa dependencia y el plazo ofrecido por el proveedor antes de solicitar la decisión.</w:t>
      </w:r>
    </w:p>
    <w:p>
      <w:r>
        <w:t>Barrios dará seguimiento desde la solicitud hasta la aprobación o rechazo y, cuando sea aprobada, coordinará con administración y procura la disponibilidad efectiva. La autorización, el pago y la recepción se registrarán por separado. Un compromiso verbal o una solicitud presentada no se considerarán desembolso.</w:t>
      </w:r>
    </w:p>
    <w:p>
      <w:pPr>
        <w:pStyle w:val="Heading2"/>
      </w:pPr>
      <w:r>
        <w:t>Funciones del resto del equipo</w:t>
      </w:r>
    </w:p>
    <w:tbl>
      <w:tblPr>
        <w:tblStyle w:val="TableGrid"/>
        <w:tblW w:type="auto" w:w="0"/>
        <w:tblLayout w:type="fixed"/>
        <w:tblLook w:firstColumn="1" w:firstRow="1" w:lastColumn="0" w:lastRow="0" w:noHBand="0" w:noVBand="1" w:val="04A0"/>
      </w:tblPr>
      <w:tblGrid>
        <w:gridCol w:w="2304"/>
        <w:gridCol w:w="7632"/>
      </w:tblGrid>
      <w:tr>
        <w:trPr>
          <w:cantSplit/>
          <w:tblHeader/>
        </w:trPr>
        <w:tc>
          <w:tcPr>
            <w:tcW w:type="dxa" w:w="4968"/>
            <w:tcBorders>
              <w:top w:val="single" w:sz="4" w:color="D9D9D9"/>
              <w:left w:val="single" w:sz="4" w:color="D9D9D9"/>
              <w:bottom w:val="single" w:sz="4" w:color="D9D9D9"/>
              <w:right w:val="single" w:sz="4" w:color="D9D9D9"/>
            </w:tcBorders>
            <w:shd w:fill="EAEAEA"/>
          </w:tcPr>
          <w:p>
            <w:pPr>
              <w:spacing w:after="100" w:before="100"/>
            </w:pPr>
            <w:r>
              <w:rPr>
                <w:b/>
                <w:sz w:val="21"/>
              </w:rPr>
              <w:t>Responsable</w:t>
            </w:r>
          </w:p>
        </w:tc>
        <w:tc>
          <w:tcPr>
            <w:tcW w:type="dxa" w:w="4968"/>
            <w:tcBorders>
              <w:top w:val="single" w:sz="4" w:color="D9D9D9"/>
              <w:left w:val="single" w:sz="4" w:color="D9D9D9"/>
              <w:bottom w:val="single" w:sz="4" w:color="D9D9D9"/>
              <w:right w:val="single" w:sz="4" w:color="D9D9D9"/>
            </w:tcBorders>
            <w:shd w:fill="EAEAEA"/>
          </w:tcPr>
          <w:p>
            <w:pPr>
              <w:spacing w:after="100" w:before="100"/>
            </w:pPr>
            <w:r>
              <w:rPr>
                <w:b/>
                <w:sz w:val="21"/>
              </w:rPr>
              <w:t>Responsabilidad</w:t>
            </w:r>
          </w:p>
        </w:tc>
      </w:tr>
      <w:tr>
        <w:trPr>
          <w:cantSplit/>
        </w:trPr>
        <w:tc>
          <w:tcPr>
            <w:tcW w:type="dxa" w:w="2304"/>
            <w:tcBorders>
              <w:top w:val="single" w:sz="4" w:color="D9D9D9"/>
              <w:left w:val="single" w:sz="4" w:color="D9D9D9"/>
              <w:bottom w:val="single" w:sz="4" w:color="D9D9D9"/>
              <w:right w:val="single" w:sz="4" w:color="D9D9D9"/>
            </w:tcBorders>
          </w:tcPr>
          <w:p>
            <w:pPr>
              <w:spacing w:after="100" w:before="100"/>
            </w:pPr>
            <w:r>
              <w:rPr>
                <w:b w:val="0"/>
                <w:sz w:val="21"/>
              </w:rPr>
              <w:t>Gustavo Briceño</w:t>
            </w:r>
          </w:p>
        </w:tc>
        <w:tc>
          <w:tcPr>
            <w:tcW w:type="dxa" w:w="7632"/>
            <w:tcBorders>
              <w:top w:val="single" w:sz="4" w:color="D9D9D9"/>
              <w:left w:val="single" w:sz="4" w:color="D9D9D9"/>
              <w:bottom w:val="single" w:sz="4" w:color="D9D9D9"/>
              <w:right w:val="single" w:sz="4" w:color="D9D9D9"/>
            </w:tcBorders>
          </w:tcPr>
          <w:p>
            <w:pPr>
              <w:spacing w:after="100" w:before="100"/>
            </w:pPr>
            <w:r>
              <w:rPr>
                <w:b w:val="0"/>
                <w:sz w:val="21"/>
              </w:rPr>
              <w:t>Consolidar datos y cálculos de proceso, balances, consumos y condiciones operativas. Identificar fuentes, estimaciones y limitaciones y preparar la base oficial que respalda Alejandro.</w:t>
            </w:r>
          </w:p>
        </w:tc>
      </w:tr>
      <w:tr>
        <w:trPr>
          <w:cantSplit/>
        </w:trPr>
        <w:tc>
          <w:tcPr>
            <w:tcW w:type="dxa" w:w="2304"/>
            <w:tcBorders>
              <w:top w:val="single" w:sz="4" w:color="D9D9D9"/>
              <w:left w:val="single" w:sz="4" w:color="D9D9D9"/>
              <w:bottom w:val="single" w:sz="4" w:color="D9D9D9"/>
              <w:right w:val="single" w:sz="4" w:color="D9D9D9"/>
            </w:tcBorders>
          </w:tcPr>
          <w:p>
            <w:pPr>
              <w:spacing w:after="100" w:before="100"/>
            </w:pPr>
            <w:r>
              <w:rPr>
                <w:b w:val="0"/>
                <w:sz w:val="21"/>
              </w:rPr>
              <w:t>Junior Polanco</w:t>
            </w:r>
          </w:p>
        </w:tc>
        <w:tc>
          <w:tcPr>
            <w:tcW w:type="dxa" w:w="7632"/>
            <w:tcBorders>
              <w:top w:val="single" w:sz="4" w:color="D9D9D9"/>
              <w:left w:val="single" w:sz="4" w:color="D9D9D9"/>
              <w:bottom w:val="single" w:sz="4" w:color="D9D9D9"/>
              <w:right w:val="single" w:sz="4" w:color="D9D9D9"/>
            </w:tcBorders>
          </w:tcPr>
          <w:p>
            <w:pPr>
              <w:spacing w:after="100" w:before="100"/>
            </w:pPr>
            <w:r>
              <w:rPr>
                <w:b w:val="0"/>
                <w:sz w:val="21"/>
              </w:rPr>
              <w:t>Validar electricidad, instrumentación, control, interfaces, pruebas y aceptación de su disciplina.</w:t>
            </w:r>
          </w:p>
        </w:tc>
      </w:tr>
      <w:tr>
        <w:trPr>
          <w:cantSplit/>
        </w:trPr>
        <w:tc>
          <w:tcPr>
            <w:tcW w:type="dxa" w:w="2304"/>
            <w:tcBorders>
              <w:top w:val="single" w:sz="4" w:color="D9D9D9"/>
              <w:left w:val="single" w:sz="4" w:color="D9D9D9"/>
              <w:bottom w:val="single" w:sz="4" w:color="D9D9D9"/>
              <w:right w:val="single" w:sz="4" w:color="D9D9D9"/>
            </w:tcBorders>
          </w:tcPr>
          <w:p>
            <w:pPr>
              <w:spacing w:after="100" w:before="100"/>
            </w:pPr>
            <w:r>
              <w:rPr>
                <w:b w:val="0"/>
                <w:sz w:val="21"/>
              </w:rPr>
              <w:t>Guiomar Bereciartu</w:t>
            </w:r>
          </w:p>
        </w:tc>
        <w:tc>
          <w:tcPr>
            <w:tcW w:type="dxa" w:w="7632"/>
            <w:tcBorders>
              <w:top w:val="single" w:sz="4" w:color="D9D9D9"/>
              <w:left w:val="single" w:sz="4" w:color="D9D9D9"/>
              <w:bottom w:val="single" w:sz="4" w:color="D9D9D9"/>
              <w:right w:val="single" w:sz="4" w:color="D9D9D9"/>
            </w:tcBorders>
          </w:tcPr>
          <w:p>
            <w:pPr>
              <w:spacing w:after="100" w:before="100"/>
            </w:pPr>
            <w:r>
              <w:rPr>
                <w:b w:val="0"/>
                <w:sz w:val="21"/>
              </w:rPr>
              <w:t>Validar datos de laboratorio y calidad, especificaciones de insumos e indicadores de resultados.</w:t>
            </w:r>
          </w:p>
        </w:tc>
      </w:tr>
      <w:tr>
        <w:trPr>
          <w:cantSplit/>
        </w:trPr>
        <w:tc>
          <w:tcPr>
            <w:tcW w:type="dxa" w:w="2304"/>
            <w:tcBorders>
              <w:top w:val="single" w:sz="4" w:color="D9D9D9"/>
              <w:left w:val="single" w:sz="4" w:color="D9D9D9"/>
              <w:bottom w:val="single" w:sz="4" w:color="D9D9D9"/>
              <w:right w:val="single" w:sz="4" w:color="D9D9D9"/>
            </w:tcBorders>
          </w:tcPr>
          <w:p>
            <w:pPr>
              <w:spacing w:after="100" w:before="100"/>
            </w:pPr>
            <w:r>
              <w:rPr>
                <w:b w:val="0"/>
                <w:sz w:val="21"/>
              </w:rPr>
              <w:t>Juan Caigua</w:t>
            </w:r>
          </w:p>
        </w:tc>
        <w:tc>
          <w:tcPr>
            <w:tcW w:type="dxa" w:w="7632"/>
            <w:tcBorders>
              <w:top w:val="single" w:sz="4" w:color="D9D9D9"/>
              <w:left w:val="single" w:sz="4" w:color="D9D9D9"/>
              <w:bottom w:val="single" w:sz="4" w:color="D9D9D9"/>
              <w:right w:val="single" w:sz="4" w:color="D9D9D9"/>
            </w:tcBorders>
          </w:tcPr>
          <w:p>
            <w:pPr>
              <w:spacing w:after="100" w:before="100"/>
            </w:pPr>
            <w:r>
              <w:rPr>
                <w:b w:val="0"/>
                <w:sz w:val="21"/>
              </w:rPr>
              <w:t>Asesorar y documentar revisiones, recomendaciones y riesgos dentro de su competencia.</w:t>
            </w:r>
          </w:p>
        </w:tc>
      </w:tr>
      <w:tr>
        <w:trPr>
          <w:cantSplit/>
        </w:trPr>
        <w:tc>
          <w:tcPr>
            <w:tcW w:type="dxa" w:w="2304"/>
            <w:tcBorders>
              <w:top w:val="single" w:sz="4" w:color="D9D9D9"/>
              <w:left w:val="single" w:sz="4" w:color="D9D9D9"/>
              <w:bottom w:val="single" w:sz="4" w:color="D9D9D9"/>
              <w:right w:val="single" w:sz="4" w:color="D9D9D9"/>
            </w:tcBorders>
          </w:tcPr>
          <w:p>
            <w:pPr>
              <w:spacing w:after="100" w:before="100"/>
            </w:pPr>
            <w:r>
              <w:rPr>
                <w:b w:val="0"/>
                <w:sz w:val="21"/>
              </w:rPr>
              <w:t>Wilfre Álvarez</w:t>
            </w:r>
          </w:p>
        </w:tc>
        <w:tc>
          <w:tcPr>
            <w:tcW w:type="dxa" w:w="7632"/>
            <w:tcBorders>
              <w:top w:val="single" w:sz="4" w:color="D9D9D9"/>
              <w:left w:val="single" w:sz="4" w:color="D9D9D9"/>
              <w:bottom w:val="single" w:sz="4" w:color="D9D9D9"/>
              <w:right w:val="single" w:sz="4" w:color="D9D9D9"/>
            </w:tcBorders>
          </w:tcPr>
          <w:p>
            <w:pPr>
              <w:spacing w:after="100" w:before="100"/>
            </w:pPr>
            <w:r>
              <w:rPr>
                <w:b w:val="0"/>
                <w:sz w:val="21"/>
              </w:rPr>
              <w:t>Desarrollar planos, cómputos y documentación técnica asignada, con control de revisiones.</w:t>
            </w:r>
          </w:p>
        </w:tc>
      </w:tr>
      <w:tr>
        <w:trPr>
          <w:cantSplit/>
        </w:trPr>
        <w:tc>
          <w:tcPr>
            <w:tcW w:type="dxa" w:w="2304"/>
            <w:tcBorders>
              <w:top w:val="single" w:sz="4" w:color="D9D9D9"/>
              <w:left w:val="single" w:sz="4" w:color="D9D9D9"/>
              <w:bottom w:val="single" w:sz="4" w:color="D9D9D9"/>
              <w:right w:val="single" w:sz="4" w:color="D9D9D9"/>
            </w:tcBorders>
          </w:tcPr>
          <w:p>
            <w:pPr>
              <w:spacing w:after="100" w:before="100"/>
            </w:pPr>
            <w:r>
              <w:rPr>
                <w:b w:val="0"/>
                <w:sz w:val="21"/>
              </w:rPr>
              <w:t>Agustín Marcano</w:t>
            </w:r>
          </w:p>
        </w:tc>
        <w:tc>
          <w:tcPr>
            <w:tcW w:type="dxa" w:w="7632"/>
            <w:tcBorders>
              <w:top w:val="single" w:sz="4" w:color="D9D9D9"/>
              <w:left w:val="single" w:sz="4" w:color="D9D9D9"/>
              <w:bottom w:val="single" w:sz="4" w:color="D9D9D9"/>
              <w:right w:val="single" w:sz="4" w:color="D9D9D9"/>
            </w:tcBorders>
          </w:tcPr>
          <w:p>
            <w:pPr>
              <w:spacing w:after="100" w:before="100"/>
            </w:pPr>
            <w:r>
              <w:rPr>
                <w:b w:val="0"/>
                <w:sz w:val="21"/>
              </w:rPr>
              <w:t>Evaluar retorno, costos y beneficios con soporte, distinguir resultados previstos y reales y evitar doble conteo.</w:t>
            </w:r>
          </w:p>
        </w:tc>
      </w:tr>
      <w:tr>
        <w:trPr>
          <w:cantSplit/>
        </w:trPr>
        <w:tc>
          <w:tcPr>
            <w:tcW w:type="dxa" w:w="2304"/>
            <w:tcBorders>
              <w:top w:val="single" w:sz="4" w:color="D9D9D9"/>
              <w:left w:val="single" w:sz="4" w:color="D9D9D9"/>
              <w:bottom w:val="single" w:sz="4" w:color="D9D9D9"/>
              <w:right w:val="single" w:sz="4" w:color="D9D9D9"/>
            </w:tcBorders>
          </w:tcPr>
          <w:p>
            <w:pPr>
              <w:spacing w:after="100" w:before="100"/>
            </w:pPr>
            <w:r>
              <w:rPr>
                <w:b w:val="0"/>
                <w:sz w:val="21"/>
              </w:rPr>
              <w:t>Maritza</w:t>
            </w:r>
          </w:p>
        </w:tc>
        <w:tc>
          <w:tcPr>
            <w:tcW w:type="dxa" w:w="7632"/>
            <w:tcBorders>
              <w:top w:val="single" w:sz="4" w:color="D9D9D9"/>
              <w:left w:val="single" w:sz="4" w:color="D9D9D9"/>
              <w:bottom w:val="single" w:sz="4" w:color="D9D9D9"/>
              <w:right w:val="single" w:sz="4" w:color="D9D9D9"/>
            </w:tcBorders>
          </w:tcPr>
          <w:p>
            <w:pPr>
              <w:spacing w:after="100" w:before="100"/>
            </w:pPr>
            <w:r>
              <w:rPr>
                <w:b w:val="0"/>
                <w:sz w:val="21"/>
              </w:rPr>
              <w:t>Mantener control presupuestario por partidas y versiones, montos aprobados, variaciones y conciliación con procura y administración.</w:t>
            </w:r>
          </w:p>
        </w:tc>
      </w:tr>
      <w:tr>
        <w:trPr>
          <w:cantSplit/>
        </w:trPr>
        <w:tc>
          <w:tcPr>
            <w:tcW w:type="dxa" w:w="2304"/>
            <w:tcBorders>
              <w:top w:val="single" w:sz="4" w:color="D9D9D9"/>
              <w:left w:val="single" w:sz="4" w:color="D9D9D9"/>
              <w:bottom w:val="single" w:sz="4" w:color="D9D9D9"/>
              <w:right w:val="single" w:sz="4" w:color="D9D9D9"/>
            </w:tcBorders>
          </w:tcPr>
          <w:p>
            <w:pPr>
              <w:spacing w:after="100" w:before="100"/>
            </w:pPr>
            <w:r>
              <w:rPr>
                <w:b w:val="0"/>
                <w:sz w:val="21"/>
              </w:rPr>
              <w:t>Luisa y Comité de Control de Pérdidas</w:t>
            </w:r>
          </w:p>
        </w:tc>
        <w:tc>
          <w:tcPr>
            <w:tcW w:type="dxa" w:w="7632"/>
            <w:tcBorders>
              <w:top w:val="single" w:sz="4" w:color="D9D9D9"/>
              <w:left w:val="single" w:sz="4" w:color="D9D9D9"/>
              <w:bottom w:val="single" w:sz="4" w:color="D9D9D9"/>
              <w:right w:val="single" w:sz="4" w:color="D9D9D9"/>
            </w:tcBorders>
          </w:tcPr>
          <w:p>
            <w:pPr>
              <w:spacing w:after="100" w:before="100"/>
            </w:pPr>
            <w:r>
              <w:rPr>
                <w:b w:val="0"/>
                <w:sz w:val="21"/>
              </w:rPr>
              <w:t>Dar seguimiento periódico a indicadores, resultados y desviaciones durante la zafra y promover acciones correctivas.</w:t>
            </w:r>
          </w:p>
        </w:tc>
      </w:tr>
      <w:tr>
        <w:trPr>
          <w:cantSplit/>
        </w:trPr>
        <w:tc>
          <w:tcPr>
            <w:tcW w:type="dxa" w:w="2304"/>
            <w:tcBorders>
              <w:top w:val="single" w:sz="4" w:color="D9D9D9"/>
              <w:left w:val="single" w:sz="4" w:color="D9D9D9"/>
              <w:bottom w:val="single" w:sz="4" w:color="D9D9D9"/>
              <w:right w:val="single" w:sz="4" w:color="D9D9D9"/>
            </w:tcBorders>
          </w:tcPr>
          <w:p>
            <w:pPr>
              <w:spacing w:after="100" w:before="100"/>
            </w:pPr>
            <w:r>
              <w:rPr>
                <w:b w:val="0"/>
                <w:sz w:val="21"/>
              </w:rPr>
              <w:t>José Francisco Pérez</w:t>
            </w:r>
          </w:p>
        </w:tc>
        <w:tc>
          <w:tcPr>
            <w:tcW w:type="dxa" w:w="7632"/>
            <w:tcBorders>
              <w:top w:val="single" w:sz="4" w:color="D9D9D9"/>
              <w:left w:val="single" w:sz="4" w:color="D9D9D9"/>
              <w:bottom w:val="single" w:sz="4" w:color="D9D9D9"/>
              <w:right w:val="single" w:sz="4" w:color="D9D9D9"/>
            </w:tcBorders>
          </w:tcPr>
          <w:p>
            <w:pPr>
              <w:spacing w:after="100" w:before="100"/>
            </w:pPr>
            <w:r>
              <w:rPr>
                <w:b w:val="0"/>
                <w:sz w:val="21"/>
              </w:rPr>
              <w:t>Resolver excepciones de TACA sobre recursos y condiciones comerciales y escalar decisiones de su competencia.</w:t>
            </w:r>
          </w:p>
        </w:tc>
      </w:tr>
    </w:tbl>
    <w:p>
      <w:pPr>
        <w:pStyle w:val="Heading1"/>
        <w:pageBreakBefore/>
      </w:pPr>
      <w:r>
        <w:t>Presentación a dirección y control de compromisos</w:t>
      </w:r>
    </w:p>
    <w:p>
      <w:pPr>
        <w:pStyle w:val="Heading2"/>
      </w:pPr>
      <w:r>
        <w:t>Próxima visita de Fernando Álvarez a Acarigua</w:t>
      </w:r>
    </w:p>
    <w:p>
      <w:r>
        <w:t>Para la próxima visita de Fernando Álvarez a Acarigua se preparará una presentación ejecutiva del mecanismo de trabajo, el estado de cada proyecto, los acuerdos alcanzados, las diferencias pendientes y las decisiones requeridas. No se fija fecha calendario en esta acta.</w:t>
      </w:r>
    </w:p>
    <w:p>
      <w:r>
        <w:t>Rafael y Germán integrarán la presentación con el equipo. José Barrios participará con la secuencia de solicitudes y desembolsos, sus soportes, metas y dependencias. El propósito es acordar con Fernando cómo se gestionará el avance y cómo se presentarán las decisiones a la Junta Directiva, sin presumir nuevas delegaciones de autoridad.</w:t>
      </w:r>
    </w:p>
    <w:p>
      <w:pPr>
        <w:pStyle w:val="Heading2"/>
      </w:pPr>
      <w:r>
        <w:t>Contenido de la presentación</w:t>
      </w:r>
    </w:p>
    <w:p>
      <w:pPr>
        <w:pStyle w:val="ListBullet"/>
      </w:pPr>
      <w:r>
        <w:t>Estado real y alcance de cada proyecto, con las actualizaciones técnicas documentadas.</w:t>
      </w:r>
    </w:p>
    <w:p>
      <w:pPr>
        <w:pStyle w:val="ListBullet"/>
      </w:pPr>
      <w:r>
        <w:t>Alternativas operativas y financieras, secuencia de metas y necesidades progresivas de recursos.</w:t>
      </w:r>
    </w:p>
    <w:p>
      <w:pPr>
        <w:pStyle w:val="ListBullet"/>
      </w:pPr>
      <w:r>
        <w:t>Acuerdos y diferencias que todavía requieren decisión, con consecuencias de aplazamiento.</w:t>
      </w:r>
    </w:p>
    <w:p>
      <w:pPr>
        <w:pStyle w:val="ListBullet"/>
      </w:pPr>
      <w:r>
        <w:t>Responsabilidades de ejecución, gestión de aprobaciones, seguimiento y escalamiento.</w:t>
      </w:r>
    </w:p>
    <w:p>
      <w:pPr>
        <w:pStyle w:val="ListBullet"/>
      </w:pPr>
      <w:r>
        <w:t>Próximos compromisos con responsable, fecha y evidencia de cierre.</w:t>
      </w:r>
    </w:p>
    <w:p>
      <w:pPr>
        <w:pStyle w:val="Heading2"/>
      </w:pPr>
      <w:r>
        <w:t>Registro mínimo de seguimiento</w:t>
      </w:r>
    </w:p>
    <w:tbl>
      <w:tblPr>
        <w:tblStyle w:val="TableGrid"/>
        <w:tblW w:type="auto" w:w="0"/>
        <w:tblLook w:firstColumn="1" w:firstRow="1" w:lastColumn="0" w:lastRow="0" w:noHBand="0" w:noVBand="1" w:val="04A0"/>
      </w:tblPr>
      <w:tblGrid>
        <w:gridCol w:w="3312"/>
        <w:gridCol w:w="3312"/>
        <w:gridCol w:w="3312"/>
      </w:tblGrid>
      <w:tr>
        <w:trPr>
          <w:cantSplit/>
          <w:tblHeader/>
        </w:trPr>
        <w:tc>
          <w:tcPr>
            <w:tcW w:type="dxa" w:w="3312"/>
            <w:tcBorders>
              <w:top w:val="single" w:sz="4" w:color="D9D9D9"/>
              <w:left w:val="single" w:sz="4" w:color="D9D9D9"/>
              <w:bottom w:val="single" w:sz="4" w:color="D9D9D9"/>
              <w:right w:val="single" w:sz="4" w:color="D9D9D9"/>
            </w:tcBorders>
            <w:shd w:fill="EAEAEA"/>
          </w:tcPr>
          <w:p>
            <w:pPr>
              <w:spacing w:after="100" w:before="100"/>
            </w:pPr>
            <w:r>
              <w:rPr>
                <w:b/>
                <w:sz w:val="21"/>
              </w:rPr>
              <w:t>Entrega</w:t>
            </w:r>
          </w:p>
        </w:tc>
        <w:tc>
          <w:tcPr>
            <w:tcW w:type="dxa" w:w="3312"/>
            <w:tcBorders>
              <w:top w:val="single" w:sz="4" w:color="D9D9D9"/>
              <w:left w:val="single" w:sz="4" w:color="D9D9D9"/>
              <w:bottom w:val="single" w:sz="4" w:color="D9D9D9"/>
              <w:right w:val="single" w:sz="4" w:color="D9D9D9"/>
            </w:tcBorders>
            <w:shd w:fill="EAEAEA"/>
          </w:tcPr>
          <w:p>
            <w:pPr>
              <w:spacing w:after="100" w:before="100"/>
            </w:pPr>
            <w:r>
              <w:rPr>
                <w:b/>
                <w:sz w:val="21"/>
              </w:rPr>
              <w:t>Responsable de integración</w:t>
            </w:r>
          </w:p>
        </w:tc>
        <w:tc>
          <w:tcPr>
            <w:tcW w:type="dxa" w:w="3312"/>
            <w:tcBorders>
              <w:top w:val="single" w:sz="4" w:color="D9D9D9"/>
              <w:left w:val="single" w:sz="4" w:color="D9D9D9"/>
              <w:bottom w:val="single" w:sz="4" w:color="D9D9D9"/>
              <w:right w:val="single" w:sz="4" w:color="D9D9D9"/>
            </w:tcBorders>
            <w:shd w:fill="EAEAEA"/>
          </w:tcPr>
          <w:p>
            <w:pPr>
              <w:spacing w:after="100" w:before="100"/>
            </w:pPr>
            <w:r>
              <w:rPr>
                <w:b/>
                <w:sz w:val="21"/>
              </w:rPr>
              <w:t>Fecha de cierre</w:t>
            </w:r>
          </w:p>
        </w:tc>
      </w:tr>
      <w:tr>
        <w:trPr>
          <w:cantSplit/>
        </w:trPr>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Expediente técnico y actualización de reunión posterior</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Germán con Rafael y equipo técnico</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Por acordar</w:t>
            </w:r>
          </w:p>
        </w:tc>
      </w:tr>
      <w:tr>
        <w:trPr>
          <w:cantSplit/>
        </w:trPr>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Programa operativo y condiciones de ejecución CAPCA</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Rafael, coordinado con Germán</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Por acordar</w:t>
            </w:r>
          </w:p>
        </w:tc>
      </w:tr>
      <w:tr>
        <w:trPr>
          <w:cantSplit/>
        </w:trPr>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Plan de solicitudes y desembolsos por metas</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José Barrios con el equipo y administración</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Por acordar</w:t>
            </w:r>
          </w:p>
        </w:tc>
      </w:tr>
      <w:tr>
        <w:trPr>
          <w:cantSplit/>
        </w:trPr>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Presupuesto, variaciones y evaluación de resultados</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Maritza y Agustín en sus ámbitos</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Por acordar</w:t>
            </w:r>
          </w:p>
        </w:tc>
      </w:tr>
      <w:tr>
        <w:trPr>
          <w:cantSplit/>
        </w:trPr>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Presentación ejecutiva para Fernando</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Rafael y Germán con José Barrios</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Antes de la próxima visita a Acarigua</w:t>
            </w:r>
          </w:p>
        </w:tc>
      </w:tr>
    </w:tbl>
    <w:p>
      <w:r>
        <w:t>El Comité recibirá información suficiente antes de sus sesiones. Los bloqueos críticos se comunicarán sin esperar la próxima reunión. Las alertas identificarán el pendiente, dueño, impacto, decisión requerida y nivel al que se escala. Un cierre deberá acompañarse de evidencia y aceptación del responsable correspondiente.</w:t>
      </w:r>
    </w:p>
    <w:p>
      <w:pPr>
        <w:pStyle w:val="Heading2"/>
      </w:pPr>
      <w:r>
        <w:t>Anexos que acompañan este documento</w:t>
      </w:r>
    </w:p>
    <w:p>
      <w:r>
        <w:t>Anexo 1. Minuta original de Rafael Meriño: «Genera la minuta de la reunión de control de pérdi....pdf», cuatro páginas. Se conserva sin modificaciones como antecedente.</w:t>
      </w:r>
    </w:p>
    <w:p>
      <w:r>
        <w:t>Anexo 2. «Presentacion Atemperadores Rev. 1.pptx», seis diapositivas, presentada por Germán a través de TACA.</w:t>
      </w:r>
    </w:p>
    <w:p>
      <w:r>
        <w:t>Anexo 3. «Proyecto Cuarto de Preparacion de Cal.pptx», dos diapositivas, suministrada por Germán. Los documentos del proveedor mencionados posteriormente se incorporarán cuando estén identificados y disponibles.</w:t>
      </w:r>
    </w:p>
    <w:p>
      <w:pPr>
        <w:pStyle w:val="Heading1"/>
        <w:pageBreakBefore/>
      </w:pPr>
      <w:r>
        <w:t>Conformidad y firmas del equipo</w:t>
      </w:r>
    </w:p>
    <w:p>
      <w:r>
        <w:t>Con la firma, cada participante declara haber revisado el acta y sus anexos, acepta los roles y compromisos que le corresponden y consigna las salvedades que deban incorporarse. El documento no acredita firmas ni aprobaciones antes de que se produzcan. Las fechas pendientes se completarán con sus responsables antes de cerrar la versión definitiva.</w:t>
      </w:r>
    </w:p>
    <w:tbl>
      <w:tblPr>
        <w:tblStyle w:val="TableGrid"/>
        <w:tblW w:type="auto" w:w="0"/>
        <w:tblLook w:firstColumn="1" w:firstRow="1" w:lastColumn="0" w:lastRow="0" w:noHBand="0" w:noVBand="1" w:val="04A0"/>
      </w:tblPr>
      <w:tblGrid>
        <w:gridCol w:w="3312"/>
        <w:gridCol w:w="3312"/>
        <w:gridCol w:w="3312"/>
      </w:tblGrid>
      <w:tr>
        <w:trPr>
          <w:cantSplit/>
          <w:tblHeader/>
        </w:trPr>
        <w:tc>
          <w:tcPr>
            <w:tcW w:type="dxa" w:w="3312"/>
            <w:tcBorders>
              <w:top w:val="single" w:sz="4" w:color="D9D9D9"/>
              <w:left w:val="single" w:sz="4" w:color="D9D9D9"/>
              <w:bottom w:val="single" w:sz="4" w:color="D9D9D9"/>
              <w:right w:val="single" w:sz="4" w:color="D9D9D9"/>
            </w:tcBorders>
            <w:shd w:fill="EAEAEA"/>
          </w:tcPr>
          <w:p>
            <w:pPr>
              <w:spacing w:after="100" w:before="100"/>
            </w:pPr>
            <w:r>
              <w:rPr>
                <w:b/>
                <w:sz w:val="21"/>
              </w:rPr>
              <w:t>Nombre</w:t>
            </w:r>
          </w:p>
        </w:tc>
        <w:tc>
          <w:tcPr>
            <w:tcW w:type="dxa" w:w="3312"/>
            <w:tcBorders>
              <w:top w:val="single" w:sz="4" w:color="D9D9D9"/>
              <w:left w:val="single" w:sz="4" w:color="D9D9D9"/>
              <w:bottom w:val="single" w:sz="4" w:color="D9D9D9"/>
              <w:right w:val="single" w:sz="4" w:color="D9D9D9"/>
            </w:tcBorders>
            <w:shd w:fill="EAEAEA"/>
          </w:tcPr>
          <w:p>
            <w:pPr>
              <w:spacing w:after="100" w:before="100"/>
            </w:pPr>
            <w:r>
              <w:rPr>
                <w:b/>
                <w:sz w:val="21"/>
              </w:rPr>
              <w:t>Firma</w:t>
            </w:r>
          </w:p>
        </w:tc>
        <w:tc>
          <w:tcPr>
            <w:tcW w:type="dxa" w:w="3312"/>
            <w:tcBorders>
              <w:top w:val="single" w:sz="4" w:color="D9D9D9"/>
              <w:left w:val="single" w:sz="4" w:color="D9D9D9"/>
              <w:bottom w:val="single" w:sz="4" w:color="D9D9D9"/>
              <w:right w:val="single" w:sz="4" w:color="D9D9D9"/>
            </w:tcBorders>
            <w:shd w:fill="EAEAEA"/>
          </w:tcPr>
          <w:p>
            <w:pPr>
              <w:spacing w:after="100" w:before="100"/>
            </w:pPr>
            <w:r>
              <w:rPr>
                <w:b/>
                <w:sz w:val="21"/>
              </w:rPr>
              <w:t>Fecha</w:t>
            </w:r>
          </w:p>
        </w:tc>
      </w:tr>
      <w:tr>
        <w:trPr>
          <w:cantSplit/>
        </w:trPr>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Alejandro Arco</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________________</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____________</w:t>
            </w:r>
          </w:p>
        </w:tc>
      </w:tr>
      <w:tr>
        <w:trPr>
          <w:cantSplit/>
        </w:trPr>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Rafael Meriño</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________________</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____________</w:t>
            </w:r>
          </w:p>
        </w:tc>
      </w:tr>
      <w:tr>
        <w:trPr>
          <w:cantSplit/>
        </w:trPr>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Germán Pargas</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________________</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____________</w:t>
            </w:r>
          </w:p>
        </w:tc>
      </w:tr>
      <w:tr>
        <w:trPr>
          <w:cantSplit/>
        </w:trPr>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José Barrios</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________________</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____________</w:t>
            </w:r>
          </w:p>
        </w:tc>
      </w:tr>
      <w:tr>
        <w:trPr>
          <w:cantSplit/>
        </w:trPr>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Gustavo Briceño</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________________</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____________</w:t>
            </w:r>
          </w:p>
        </w:tc>
      </w:tr>
      <w:tr>
        <w:trPr>
          <w:cantSplit/>
        </w:trPr>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Junior Polanco</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________________</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____________</w:t>
            </w:r>
          </w:p>
        </w:tc>
      </w:tr>
      <w:tr>
        <w:trPr>
          <w:cantSplit/>
        </w:trPr>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Guiomar Bereciartu</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________________</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____________</w:t>
            </w:r>
          </w:p>
        </w:tc>
      </w:tr>
      <w:tr>
        <w:trPr>
          <w:cantSplit/>
        </w:trPr>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Juan Caigua</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________________</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____________</w:t>
            </w:r>
          </w:p>
        </w:tc>
      </w:tr>
      <w:tr>
        <w:trPr>
          <w:cantSplit/>
        </w:trPr>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Agustín Marcano</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________________</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____________</w:t>
            </w:r>
          </w:p>
        </w:tc>
      </w:tr>
      <w:tr>
        <w:trPr>
          <w:cantSplit/>
        </w:trPr>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Maritza (completar apellido)</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________________</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____________</w:t>
            </w:r>
          </w:p>
        </w:tc>
      </w:tr>
      <w:tr>
        <w:trPr>
          <w:cantSplit/>
        </w:trPr>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Wilfre Álvarez</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________________</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____________</w:t>
            </w:r>
          </w:p>
        </w:tc>
      </w:tr>
      <w:tr>
        <w:trPr>
          <w:cantSplit/>
        </w:trPr>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Luisa Alvarado</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________________</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____________</w:t>
            </w:r>
          </w:p>
        </w:tc>
      </w:tr>
      <w:tr>
        <w:trPr>
          <w:cantSplit/>
        </w:trPr>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José Francisco Pérez</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________________</w:t>
            </w:r>
          </w:p>
        </w:tc>
        <w:tc>
          <w:tcPr>
            <w:tcW w:type="dxa" w:w="3312"/>
            <w:tcBorders>
              <w:top w:val="single" w:sz="4" w:color="D9D9D9"/>
              <w:left w:val="single" w:sz="4" w:color="D9D9D9"/>
              <w:bottom w:val="single" w:sz="4" w:color="D9D9D9"/>
              <w:right w:val="single" w:sz="4" w:color="D9D9D9"/>
            </w:tcBorders>
          </w:tcPr>
          <w:p>
            <w:pPr>
              <w:spacing w:after="100" w:before="100"/>
            </w:pPr>
            <w:r>
              <w:rPr>
                <w:b w:val="0"/>
                <w:sz w:val="21"/>
              </w:rPr>
              <w:t>____________</w:t>
            </w:r>
          </w:p>
        </w:tc>
      </w:tr>
    </w:tbl>
    <w:p>
      <w:pPr>
        <w:pStyle w:val="Heading2"/>
      </w:pPr>
      <w:r>
        <w:t>Observaciones y salvedades</w:t>
      </w:r>
    </w:p>
    <w:p>
      <w:r>
        <w:t>________________________________________________________________________</w:t>
        <w:br/>
        <w:br/>
        <w:t>________________________________________________________________________</w:t>
        <w:br/>
        <w:br/>
        <w:t>________________________________________________________________________</w:t>
      </w:r>
    </w:p>
    <w:p>
      <w:r>
        <w:t>Otros integrantes participantes podrán añadir nombre, responsabilidad, firma y fecha en hoja de continuación identificada con esta acta.</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de acuerdos y organización CAPCA TACA</dc:title>
  <dc:subject/>
  <dc:creator>José Francisco Pérez</dc:creator>
  <cp:keywords/>
  <dc:description>generated by python-docx</dc:description>
  <cp:lastModifiedBy/>
  <cp:revision>1</cp:revision>
  <dcterms:created xsi:type="dcterms:W3CDTF">2013-12-23T23:15:00Z</dcterms:created>
  <dcterms:modified xsi:type="dcterms:W3CDTF">2013-12-23T23:15:00Z</dcterms:modified>
  <cp:category/>
</cp:coreProperties>
</file>